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04"/>
        <w:gridCol w:w="6"/>
      </w:tblGrid>
      <w:tr w:rsidR="002752E3" w:rsidTr="002752E3">
        <w:trPr>
          <w:gridAfter w:val="1"/>
          <w:trHeight w:val="563"/>
          <w:tblCellSpacing w:w="0" w:type="dxa"/>
        </w:trPr>
        <w:tc>
          <w:tcPr>
            <w:tcW w:w="9889" w:type="dxa"/>
            <w:tcMar>
              <w:top w:w="0" w:type="dxa"/>
              <w:left w:w="250" w:type="dxa"/>
              <w:bottom w:w="0" w:type="dxa"/>
              <w:right w:w="250" w:type="dxa"/>
            </w:tcMar>
            <w:vAlign w:val="bottom"/>
            <w:hideMark/>
          </w:tcPr>
          <w:p w:rsidR="002752E3" w:rsidRPr="002752E3" w:rsidRDefault="002752E3" w:rsidP="002752E3">
            <w:pPr>
              <w:pStyle w:val="a3"/>
              <w:ind w:left="501"/>
              <w:jc w:val="center"/>
              <w:rPr>
                <w:rFonts w:ascii="Tahoma" w:hAnsi="Tahoma" w:cs="Tahoma"/>
                <w:b/>
                <w:bCs/>
                <w:color w:val="1A1A1A"/>
                <w:sz w:val="30"/>
                <w:szCs w:val="30"/>
              </w:rPr>
            </w:pPr>
            <w:r w:rsidRPr="002752E3">
              <w:rPr>
                <w:rFonts w:ascii="Tahoma" w:hAnsi="Tahoma" w:cs="Tahoma"/>
                <w:b/>
                <w:bCs/>
                <w:color w:val="1A1A1A"/>
                <w:sz w:val="30"/>
                <w:szCs w:val="30"/>
              </w:rPr>
              <w:t>Обзор законодательства</w:t>
            </w:r>
          </w:p>
        </w:tc>
      </w:tr>
      <w:tr w:rsidR="002752E3" w:rsidRPr="002752E3" w:rsidTr="002752E3">
        <w:trPr>
          <w:tblCellSpacing w:w="0" w:type="dxa"/>
        </w:trPr>
        <w:tc>
          <w:tcPr>
            <w:tcW w:w="9889" w:type="dxa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tbl>
            <w:tblPr>
              <w:tblW w:w="950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8"/>
              <w:gridCol w:w="6"/>
            </w:tblGrid>
            <w:tr w:rsidR="004218C9" w:rsidTr="004218C9">
              <w:trPr>
                <w:gridAfter w:val="1"/>
                <w:trHeight w:val="563"/>
                <w:tblCellSpacing w:w="0" w:type="dxa"/>
              </w:trPr>
              <w:tc>
                <w:tcPr>
                  <w:tcW w:w="9498" w:type="dxa"/>
                  <w:tcMar>
                    <w:top w:w="0" w:type="dxa"/>
                    <w:left w:w="250" w:type="dxa"/>
                    <w:bottom w:w="0" w:type="dxa"/>
                    <w:right w:w="250" w:type="dxa"/>
                  </w:tcMar>
                  <w:vAlign w:val="bottom"/>
                  <w:hideMark/>
                </w:tcPr>
                <w:p w:rsidR="004218C9" w:rsidRDefault="004218C9">
                  <w:pPr>
                    <w:pStyle w:val="a3"/>
                    <w:ind w:left="501"/>
                    <w:rPr>
                      <w:rFonts w:ascii="Georgia" w:hAnsi="Georgia" w:cs="Arial"/>
                      <w:b/>
                      <w:bCs/>
                      <w:color w:val="1A1A1A"/>
                      <w:sz w:val="20"/>
                      <w:szCs w:val="20"/>
                    </w:rPr>
                  </w:pPr>
                </w:p>
              </w:tc>
            </w:tr>
            <w:tr w:rsidR="004218C9" w:rsidTr="004218C9">
              <w:trPr>
                <w:tblCellSpacing w:w="0" w:type="dxa"/>
              </w:trPr>
              <w:tc>
                <w:tcPr>
                  <w:tcW w:w="9498" w:type="dxa"/>
                  <w:tcMar>
                    <w:top w:w="0" w:type="dxa"/>
                    <w:left w:w="250" w:type="dxa"/>
                    <w:bottom w:w="0" w:type="dxa"/>
                    <w:right w:w="250" w:type="dxa"/>
                  </w:tcMar>
                  <w:vAlign w:val="center"/>
                  <w:hideMark/>
                </w:tcPr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>
                    <w:rPr>
                      <w:rStyle w:val="a4"/>
                      <w:rFonts w:ascii="Georgia" w:hAnsi="Georgia" w:cs="Arial"/>
                      <w:color w:val="1A1A1A"/>
                      <w:sz w:val="18"/>
                      <w:szCs w:val="18"/>
                    </w:rPr>
                    <w:t>5/53661 (09.07.2024)</w:t>
                  </w:r>
                  <w:r>
                    <w:rPr>
                      <w:rFonts w:ascii="Georgia" w:hAnsi="Georgia" w:cs="Arial"/>
                      <w:b/>
                      <w:bCs/>
                      <w:color w:val="1A1A1A"/>
                      <w:sz w:val="18"/>
                      <w:szCs w:val="18"/>
                    </w:rPr>
                    <w:br/>
                  </w:r>
                  <w:r w:rsidRPr="004218C9">
                    <w:rPr>
                      <w:rStyle w:val="a4"/>
                      <w:rFonts w:ascii="Tahoma" w:hAnsi="Tahoma" w:cs="Tahoma"/>
                      <w:color w:val="1A1A1A"/>
                      <w:sz w:val="26"/>
                      <w:szCs w:val="26"/>
                    </w:rPr>
                    <w:t>Об изменении постановления Совета Министров Республики Беларусь от 31 августа 2022 г. № 572. </w:t>
                  </w:r>
                  <w:hyperlink r:id="rId5" w:tgtFrame="_blank" w:history="1">
                    <w:r w:rsidRPr="004218C9">
                      <w:rPr>
                        <w:rStyle w:val="a5"/>
                        <w:rFonts w:ascii="Tahoma" w:hAnsi="Tahoma" w:cs="Tahoma"/>
                        <w:b/>
                        <w:bCs/>
                        <w:sz w:val="26"/>
                        <w:szCs w:val="26"/>
                      </w:rPr>
                      <w:t>Постановление Совета Министров Республики Беларусь от 8 июля 2024 г. № 486</w:t>
                    </w:r>
                  </w:hyperlink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Внесены изменения в Положение о практике учащихся, курсантов, осваивающих содержание образовательных программ среднего специального образования, утвержденное постановлением Совмина от 31.08.2022 № 572.</w:t>
                  </w: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Положение дополнено условием привлечения практикантов к производству товаров (выполнению работ, оказанию услуг) соответствующих учебно-программной документации, а также проведения оплачиваемой практики.</w:t>
                  </w: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Положение дополнено формой Договора об организации практики учащихся, курсантов, осваивающих содержание образовательных программ среднего специального образования, участвующих в производстве товаров (выполнении работ, оказании услуг)</w:t>
                  </w: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Постановление вступает в силу 11 июля 2024 года.</w:t>
                  </w: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Style w:val="a4"/>
                      <w:rFonts w:ascii="Tahoma" w:hAnsi="Tahoma" w:cs="Tahoma"/>
                      <w:color w:val="1A1A1A"/>
                      <w:sz w:val="26"/>
                      <w:szCs w:val="26"/>
                    </w:rPr>
                    <w:t>8/41821 (01.07.2024)</w:t>
                  </w:r>
                  <w:r w:rsidRPr="004218C9">
                    <w:rPr>
                      <w:rFonts w:ascii="Tahoma" w:hAnsi="Tahoma" w:cs="Tahoma"/>
                      <w:b/>
                      <w:bCs/>
                      <w:color w:val="1A1A1A"/>
                      <w:sz w:val="26"/>
                      <w:szCs w:val="26"/>
                    </w:rPr>
                    <w:br/>
                  </w:r>
                  <w:r w:rsidRPr="004218C9">
                    <w:rPr>
                      <w:rStyle w:val="a4"/>
                      <w:rFonts w:ascii="Tahoma" w:hAnsi="Tahoma" w:cs="Tahoma"/>
                      <w:color w:val="1A1A1A"/>
                      <w:sz w:val="26"/>
                      <w:szCs w:val="26"/>
                    </w:rPr>
                    <w:t>Об утверждении выпуска 44 Единого тарифно-квалификационного справочника работ и профессий рабочих. </w:t>
                  </w:r>
                  <w:hyperlink r:id="rId6" w:tgtFrame="_blank" w:history="1">
                    <w:r w:rsidRPr="004218C9">
                      <w:rPr>
                        <w:rStyle w:val="a5"/>
                        <w:rFonts w:ascii="Tahoma" w:hAnsi="Tahoma" w:cs="Tahoma"/>
                        <w:b/>
                        <w:bCs/>
                        <w:sz w:val="26"/>
                        <w:szCs w:val="26"/>
                      </w:rPr>
                      <w:t>Постановление Министерства труда и социальной защиты Республики Беларусь от 3 июня 2024 г. № 36</w:t>
                    </w:r>
                  </w:hyperlink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В новой редакции изложен Выпуск 44 Единого тарифно-квалификационного справочника работ и профессий рабочих «Общие профессии производства текстиля. Хлопчатобумажное производство. Льняное производство. Шерстяное производство. Шелковое производство. Шелкомотальное производство. Трикотажное производство. Валяльно-войлочное производство. Производство текстильной галантереи. Пенько-джутовое производство. Производство ваты. Производство нетканых материалов. Сетевязальное производство. Ручное ткачество</w:t>
                  </w:r>
                  <w:proofErr w:type="gramStart"/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.»</w:t>
                  </w:r>
                  <w:proofErr w:type="gramEnd"/>
                </w:p>
                <w:p w:rsidR="006C40E2" w:rsidRDefault="006C40E2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</w:p>
                <w:p w:rsidR="006C40E2" w:rsidRDefault="006C40E2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lastRenderedPageBreak/>
                    <w:t>В постановлении Минтруда от 02.03.1998 № 26 «Об утверждении выпусков 30, 39 и 44 Единого тарифно-квалификационного справочника работ и профессий рабочих (ЕТКС)» остаются только выпуски ЕТКС 30 и 39.</w:t>
                  </w: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hyperlink r:id="rId7" w:tgtFrame="_blank" w:history="1">
                    <w:r w:rsidRPr="004218C9">
                      <w:rPr>
                        <w:rStyle w:val="a5"/>
                        <w:rFonts w:ascii="Tahoma" w:hAnsi="Tahoma" w:cs="Tahoma"/>
                        <w:sz w:val="26"/>
                        <w:szCs w:val="26"/>
                      </w:rPr>
                      <w:t>В Справочнике СОТ</w:t>
                    </w:r>
                  </w:hyperlink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 </w:t>
                  </w:r>
                  <w:proofErr w:type="gramStart"/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новый</w:t>
                  </w:r>
                  <w:proofErr w:type="gramEnd"/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 xml:space="preserve"> ЕТКС 44 внесен.</w:t>
                  </w: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Постановление вступает в силу 01 июля 2024 года.</w:t>
                  </w:r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Style w:val="a4"/>
                      <w:rFonts w:ascii="Tahoma" w:hAnsi="Tahoma" w:cs="Tahoma"/>
                      <w:color w:val="1A1A1A"/>
                      <w:sz w:val="26"/>
                      <w:szCs w:val="26"/>
                    </w:rPr>
                    <w:t>8/41849 (08.07.2024)</w:t>
                  </w:r>
                  <w:r w:rsidRPr="004218C9">
                    <w:rPr>
                      <w:rFonts w:ascii="Tahoma" w:hAnsi="Tahoma" w:cs="Tahoma"/>
                      <w:b/>
                      <w:bCs/>
                      <w:color w:val="1A1A1A"/>
                      <w:sz w:val="26"/>
                      <w:szCs w:val="26"/>
                    </w:rPr>
                    <w:br/>
                  </w:r>
                  <w:r w:rsidRPr="004218C9">
                    <w:rPr>
                      <w:rStyle w:val="a4"/>
                      <w:rFonts w:ascii="Tahoma" w:hAnsi="Tahoma" w:cs="Tahoma"/>
                      <w:color w:val="1A1A1A"/>
                      <w:sz w:val="26"/>
                      <w:szCs w:val="26"/>
                    </w:rPr>
                    <w:t>О признании утратившим силу постановления Министерства здравоохранения Республики Беларусь от 29 октября 2012 г. № 168. </w:t>
                  </w:r>
                  <w:hyperlink r:id="rId8" w:tgtFrame="_blank" w:history="1">
                    <w:r w:rsidRPr="004218C9">
                      <w:rPr>
                        <w:rStyle w:val="a5"/>
                        <w:rFonts w:ascii="Tahoma" w:hAnsi="Tahoma" w:cs="Tahoma"/>
                        <w:b/>
                        <w:bCs/>
                        <w:sz w:val="26"/>
                        <w:szCs w:val="26"/>
                      </w:rPr>
                      <w:t>Постановление Министерства здравоохранения Республики Беларусь от 5 июля 2024 г. № 115</w:t>
                    </w:r>
                  </w:hyperlink>
                </w:p>
                <w:p w:rsidR="004218C9" w:rsidRP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Признано утратившим силу постановление Минздрава от 29.10.2012 № 168 «Об утверждении Санитарных норм и правил «Санитарно-эпидемиологические требования для санаторно-курортных и оздоровительных организаций».</w:t>
                  </w:r>
                </w:p>
                <w:p w:rsidR="004218C9" w:rsidRDefault="004218C9">
                  <w:pPr>
                    <w:pStyle w:val="a3"/>
                    <w:spacing w:line="250" w:lineRule="atLeast"/>
                    <w:jc w:val="both"/>
                    <w:rPr>
                      <w:rFonts w:ascii="Georgia" w:hAnsi="Georgia" w:cs="Arial"/>
                      <w:color w:val="1A1A1A"/>
                      <w:sz w:val="18"/>
                      <w:szCs w:val="18"/>
                    </w:rPr>
                  </w:pPr>
                  <w:r w:rsidRPr="004218C9">
                    <w:rPr>
                      <w:rFonts w:ascii="Tahoma" w:hAnsi="Tahoma" w:cs="Tahoma"/>
                      <w:color w:val="1A1A1A"/>
                      <w:sz w:val="26"/>
                      <w:szCs w:val="26"/>
                    </w:rPr>
                    <w:t>Постановление вступает в силу 11 июля 2024 года.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8C9" w:rsidRDefault="004218C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4218C9" w:rsidRDefault="004218C9">
            <w:pPr>
              <w:pStyle w:val="a3"/>
              <w:spacing w:line="250" w:lineRule="atLeast"/>
              <w:jc w:val="both"/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</w:pPr>
          </w:p>
          <w:p w:rsidR="002752E3" w:rsidRPr="002752E3" w:rsidRDefault="002752E3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  <w:sz w:val="28"/>
                <w:szCs w:val="28"/>
              </w:rPr>
            </w:pPr>
            <w:r w:rsidRPr="002752E3"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  <w:t>8/41907 (22.07.2024)</w:t>
            </w:r>
            <w:r w:rsidRPr="002752E3">
              <w:rPr>
                <w:rFonts w:ascii="Tahoma" w:hAnsi="Tahoma" w:cs="Tahoma"/>
                <w:b/>
                <w:bCs/>
                <w:color w:val="1A1A1A"/>
                <w:sz w:val="28"/>
                <w:szCs w:val="28"/>
              </w:rPr>
              <w:br/>
            </w:r>
            <w:r w:rsidRPr="002752E3">
              <w:rPr>
                <w:rStyle w:val="a4"/>
                <w:rFonts w:ascii="Tahoma" w:hAnsi="Tahoma" w:cs="Tahoma"/>
                <w:color w:val="1A1A1A"/>
                <w:sz w:val="28"/>
                <w:szCs w:val="28"/>
              </w:rPr>
              <w:t>О признании утратившими силу постановлений Министерства промышленности Республики Беларусь и Министерства труда и социальной защиты Республики Беларусь от 28 июля 2004 г. № 7/92 и от 10 декабря 2007 г. № 22/171. </w:t>
            </w:r>
            <w:hyperlink r:id="rId9" w:tgtFrame="_blank" w:history="1">
              <w:r w:rsidRPr="002752E3">
                <w:rPr>
                  <w:rStyle w:val="a5"/>
                  <w:rFonts w:ascii="Tahoma" w:hAnsi="Tahoma" w:cs="Tahoma"/>
                  <w:b/>
                  <w:bCs/>
                  <w:sz w:val="28"/>
                  <w:szCs w:val="28"/>
                </w:rPr>
                <w:t>Постановление Министерства промышленности Республики Беларусь, Министерства труда и социальной защиты Республики Беларусь от 17 июля 2024 г. № 22/59</w:t>
              </w:r>
            </w:hyperlink>
          </w:p>
          <w:p w:rsidR="002752E3" w:rsidRPr="002752E3" w:rsidRDefault="002752E3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  <w:sz w:val="28"/>
                <w:szCs w:val="28"/>
              </w:rPr>
            </w:pPr>
            <w:r w:rsidRPr="002752E3">
              <w:rPr>
                <w:rFonts w:ascii="Tahoma" w:hAnsi="Tahoma" w:cs="Tahoma"/>
                <w:color w:val="1A1A1A"/>
                <w:sz w:val="28"/>
                <w:szCs w:val="28"/>
              </w:rPr>
              <w:t xml:space="preserve">Признаны утратившими силу Межотраслевые правила по охране труда при холодной обработке металлов, утвержденные постановлением </w:t>
            </w:r>
            <w:proofErr w:type="spellStart"/>
            <w:r w:rsidRPr="002752E3">
              <w:rPr>
                <w:rFonts w:ascii="Tahoma" w:hAnsi="Tahoma" w:cs="Tahoma"/>
                <w:color w:val="1A1A1A"/>
                <w:sz w:val="28"/>
                <w:szCs w:val="28"/>
              </w:rPr>
              <w:t>Минпрома</w:t>
            </w:r>
            <w:proofErr w:type="spellEnd"/>
            <w:r w:rsidRPr="002752E3">
              <w:rPr>
                <w:rFonts w:ascii="Tahoma" w:hAnsi="Tahoma" w:cs="Tahoma"/>
                <w:color w:val="1A1A1A"/>
                <w:sz w:val="28"/>
                <w:szCs w:val="28"/>
              </w:rPr>
              <w:t xml:space="preserve"> и Минтруда от 28 июля 2004 г. № 7/92.</w:t>
            </w:r>
          </w:p>
          <w:p w:rsidR="002752E3" w:rsidRPr="002752E3" w:rsidRDefault="002752E3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  <w:sz w:val="28"/>
                <w:szCs w:val="28"/>
              </w:rPr>
            </w:pPr>
            <w:r w:rsidRPr="002752E3">
              <w:rPr>
                <w:rFonts w:ascii="Tahoma" w:hAnsi="Tahoma" w:cs="Tahoma"/>
                <w:color w:val="1A1A1A"/>
                <w:sz w:val="28"/>
                <w:szCs w:val="28"/>
              </w:rPr>
              <w:t>Постановление вступает в силу 30 июля 2024 года.</w:t>
            </w:r>
          </w:p>
        </w:tc>
        <w:tc>
          <w:tcPr>
            <w:tcW w:w="0" w:type="auto"/>
            <w:vAlign w:val="center"/>
            <w:hideMark/>
          </w:tcPr>
          <w:p w:rsidR="002752E3" w:rsidRPr="002752E3" w:rsidRDefault="002752E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11636" w:rsidRPr="002752E3" w:rsidRDefault="00211636">
      <w:pPr>
        <w:rPr>
          <w:rFonts w:ascii="Tahoma" w:hAnsi="Tahoma" w:cs="Tahoma"/>
          <w:sz w:val="28"/>
          <w:szCs w:val="28"/>
        </w:rPr>
      </w:pPr>
    </w:p>
    <w:sectPr w:rsidR="00211636" w:rsidRPr="002752E3" w:rsidSect="0035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15B6F"/>
    <w:multiLevelType w:val="multilevel"/>
    <w:tmpl w:val="770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636"/>
    <w:rsid w:val="00211636"/>
    <w:rsid w:val="002752E3"/>
    <w:rsid w:val="002D4C45"/>
    <w:rsid w:val="003543F9"/>
    <w:rsid w:val="00387DE8"/>
    <w:rsid w:val="004218C9"/>
    <w:rsid w:val="00613C14"/>
    <w:rsid w:val="006C40E2"/>
    <w:rsid w:val="008E47C4"/>
    <w:rsid w:val="00920F79"/>
    <w:rsid w:val="00B727CD"/>
    <w:rsid w:val="00E1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636"/>
    <w:rPr>
      <w:b/>
      <w:bCs/>
    </w:rPr>
  </w:style>
  <w:style w:type="character" w:styleId="a5">
    <w:name w:val="Hyperlink"/>
    <w:basedOn w:val="a0"/>
    <w:uiPriority w:val="99"/>
    <w:semiHidden/>
    <w:unhideWhenUsed/>
    <w:rsid w:val="00211636"/>
    <w:rPr>
      <w:color w:val="0000FF"/>
      <w:u w:val="single"/>
    </w:rPr>
  </w:style>
  <w:style w:type="character" w:customStyle="1" w:styleId="wmi-callto">
    <w:name w:val="wmi-callto"/>
    <w:basedOn w:val="a0"/>
    <w:rsid w:val="0021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849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b.by/s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W22441821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12551&amp;p0=C224004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12551&amp;p0=W2244190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</dc:creator>
  <cp:keywords/>
  <dc:description/>
  <cp:lastModifiedBy>Ламан</cp:lastModifiedBy>
  <cp:revision>8</cp:revision>
  <dcterms:created xsi:type="dcterms:W3CDTF">2024-06-14T12:48:00Z</dcterms:created>
  <dcterms:modified xsi:type="dcterms:W3CDTF">2024-08-08T09:38:00Z</dcterms:modified>
</cp:coreProperties>
</file>