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16"/>
        <w:gridCol w:w="16"/>
      </w:tblGrid>
      <w:tr w:rsidR="008468CA" w:rsidRPr="008468CA" w:rsidTr="008468CA">
        <w:trPr>
          <w:gridAfter w:val="1"/>
          <w:trHeight w:val="563"/>
          <w:tblCellSpacing w:w="0" w:type="dxa"/>
        </w:trPr>
        <w:tc>
          <w:tcPr>
            <w:tcW w:w="9616" w:type="dxa"/>
            <w:tcMar>
              <w:top w:w="0" w:type="dxa"/>
              <w:left w:w="250" w:type="dxa"/>
              <w:bottom w:w="0" w:type="dxa"/>
              <w:right w:w="250" w:type="dxa"/>
            </w:tcMar>
            <w:vAlign w:val="bottom"/>
            <w:hideMark/>
          </w:tcPr>
          <w:p w:rsidR="008468CA" w:rsidRPr="008468CA" w:rsidRDefault="008468CA" w:rsidP="008468CA">
            <w:pPr>
              <w:spacing w:after="0" w:line="240" w:lineRule="auto"/>
              <w:ind w:left="501"/>
              <w:jc w:val="center"/>
              <w:rPr>
                <w:rFonts w:ascii="Tahoma" w:eastAsia="Times New Roman" w:hAnsi="Tahoma" w:cs="Tahoma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8468CA">
              <w:rPr>
                <w:rFonts w:ascii="Tahoma" w:eastAsia="Times New Roman" w:hAnsi="Tahoma" w:cs="Tahoma"/>
                <w:b/>
                <w:bCs/>
                <w:color w:val="1A1A1A"/>
                <w:sz w:val="25"/>
                <w:szCs w:val="25"/>
                <w:lang w:eastAsia="ru-RU"/>
              </w:rPr>
              <w:t>Обзор законодательства</w:t>
            </w:r>
          </w:p>
        </w:tc>
      </w:tr>
      <w:tr w:rsidR="008468CA" w:rsidRPr="008468CA" w:rsidTr="008468CA">
        <w:trPr>
          <w:trHeight w:val="14168"/>
          <w:tblCellSpacing w:w="0" w:type="dxa"/>
        </w:trPr>
        <w:tc>
          <w:tcPr>
            <w:tcW w:w="9616" w:type="dxa"/>
            <w:tcMar>
              <w:top w:w="0" w:type="dxa"/>
              <w:left w:w="250" w:type="dxa"/>
              <w:bottom w:w="0" w:type="dxa"/>
              <w:right w:w="250" w:type="dxa"/>
            </w:tcMar>
            <w:vAlign w:val="center"/>
            <w:hideMark/>
          </w:tcPr>
          <w:p w:rsidR="008468CA" w:rsidRPr="008468CA" w:rsidRDefault="008468CA" w:rsidP="008468CA">
            <w:pPr>
              <w:spacing w:after="0" w:line="250" w:lineRule="atLeast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b/>
                <w:bCs/>
                <w:color w:val="1A1A1A"/>
                <w:sz w:val="18"/>
                <w:lang w:eastAsia="ru-RU"/>
              </w:rPr>
              <w:t>8/41615 (23.05.2024)</w:t>
            </w:r>
            <w:r w:rsidRPr="008468CA">
              <w:rPr>
                <w:rFonts w:ascii="Tahoma" w:eastAsia="Times New Roman" w:hAnsi="Tahoma" w:cs="Tahoma"/>
                <w:b/>
                <w:bCs/>
                <w:color w:val="1A1A1A"/>
                <w:sz w:val="18"/>
                <w:szCs w:val="18"/>
                <w:lang w:eastAsia="ru-RU"/>
              </w:rPr>
              <w:br/>
            </w:r>
            <w:r w:rsidRPr="008468CA">
              <w:rPr>
                <w:rFonts w:ascii="Tahoma" w:eastAsia="Times New Roman" w:hAnsi="Tahoma" w:cs="Tahoma"/>
                <w:b/>
                <w:bCs/>
                <w:color w:val="1A1A1A"/>
                <w:sz w:val="18"/>
                <w:lang w:eastAsia="ru-RU"/>
              </w:rPr>
              <w:t>Об изменении постановления Министерства здравоохранения Республики Беларусь от 29 июля 2019 г. № 74. </w:t>
            </w:r>
            <w:hyperlink r:id="rId4" w:tgtFrame="_blank" w:history="1">
              <w:r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Постановление Министерства здравоохранения Республики Беларусь от 6 мая 2024 г. № 85</w:t>
              </w:r>
            </w:hyperlink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Внесены очередные изменения в Инструкцию о порядке проведения обязательных и внеочередных медицинских осмотров работающих. Подробности в статье</w:t>
            </w:r>
            <w:proofErr w:type="gramStart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 </w:t>
            </w:r>
            <w:hyperlink r:id="rId5" w:tgtFrame="_blank" w:history="1">
              <w:r w:rsidRPr="008468CA">
                <w:rPr>
                  <w:rFonts w:ascii="Tahoma" w:eastAsia="Times New Roman" w:hAnsi="Tahoma" w:cs="Tahoma"/>
                  <w:color w:val="0000FF"/>
                  <w:sz w:val="18"/>
                  <w:u w:val="single"/>
                  <w:lang w:eastAsia="ru-RU"/>
                </w:rPr>
                <w:t>В</w:t>
              </w:r>
              <w:proofErr w:type="gramEnd"/>
              <w:r w:rsidRPr="008468CA">
                <w:rPr>
                  <w:rFonts w:ascii="Tahoma" w:eastAsia="Times New Roman" w:hAnsi="Tahoma" w:cs="Tahoma"/>
                  <w:color w:val="0000FF"/>
                  <w:sz w:val="18"/>
                  <w:u w:val="single"/>
                  <w:lang w:eastAsia="ru-RU"/>
                </w:rPr>
                <w:t xml:space="preserve"> медосмотрах опять изменения</w:t>
              </w:r>
            </w:hyperlink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.</w:t>
            </w:r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Постановление вступает в силу 01 июля 2024 года.</w:t>
            </w:r>
          </w:p>
          <w:p w:rsidR="008468CA" w:rsidRPr="008468CA" w:rsidRDefault="008468CA" w:rsidP="008468CA">
            <w:pPr>
              <w:spacing w:after="0" w:line="250" w:lineRule="atLeast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proofErr w:type="gramStart"/>
            <w:r w:rsidRPr="008468CA">
              <w:rPr>
                <w:rFonts w:ascii="Tahoma" w:eastAsia="Times New Roman" w:hAnsi="Tahoma" w:cs="Tahoma"/>
                <w:b/>
                <w:bCs/>
                <w:color w:val="1A1A1A"/>
                <w:sz w:val="18"/>
                <w:lang w:eastAsia="ru-RU"/>
              </w:rPr>
              <w:t>8/41624 28.05.2024)</w:t>
            </w:r>
            <w:r w:rsidRPr="008468CA">
              <w:rPr>
                <w:rFonts w:ascii="Tahoma" w:eastAsia="Times New Roman" w:hAnsi="Tahoma" w:cs="Tahoma"/>
                <w:b/>
                <w:bCs/>
                <w:color w:val="1A1A1A"/>
                <w:sz w:val="18"/>
                <w:szCs w:val="18"/>
                <w:lang w:eastAsia="ru-RU"/>
              </w:rPr>
              <w:br/>
            </w:r>
            <w:r w:rsidRPr="008468CA">
              <w:rPr>
                <w:rFonts w:ascii="Tahoma" w:eastAsia="Times New Roman" w:hAnsi="Tahoma" w:cs="Tahoma"/>
                <w:b/>
                <w:bCs/>
                <w:color w:val="1A1A1A"/>
                <w:sz w:val="18"/>
                <w:lang w:eastAsia="ru-RU"/>
              </w:rPr>
              <w:t>Об изменении постановления Государственного комитета по стандартизации Республики Беларусь от 20 апреля 2021 г. № 39.</w:t>
            </w:r>
            <w:proofErr w:type="gramEnd"/>
            <w:r w:rsidRPr="008468CA">
              <w:rPr>
                <w:rFonts w:ascii="Tahoma" w:eastAsia="Times New Roman" w:hAnsi="Tahoma" w:cs="Tahoma"/>
                <w:b/>
                <w:bCs/>
                <w:color w:val="1A1A1A"/>
                <w:sz w:val="18"/>
                <w:lang w:eastAsia="ru-RU"/>
              </w:rPr>
              <w:t> </w:t>
            </w:r>
            <w:hyperlink r:id="rId6" w:tgtFrame="_blank" w:history="1">
              <w:r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Постановление Государственного комитета по стандартизации Республики Беларусь от 17 мая 2024 г. № 53</w:t>
              </w:r>
            </w:hyperlink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 xml:space="preserve">Внесены изменения в «Перечень категорий средств измерений, представляющих совокупность средств измерений одинакового назначения, применяемых при измерениях в сфере законодательной метрологии, экземпляры утвержденного типа которых подлежат государственной поверке с установленной в нем периодичностью». Данным перечнем установлена обязанность поверки </w:t>
            </w:r>
            <w:proofErr w:type="spellStart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алкотестера</w:t>
            </w:r>
            <w:proofErr w:type="spellEnd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 xml:space="preserve"> и других средств измерений.</w:t>
            </w:r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 xml:space="preserve">В части поверки </w:t>
            </w:r>
            <w:proofErr w:type="spellStart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алкотестера</w:t>
            </w:r>
            <w:proofErr w:type="spellEnd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 xml:space="preserve"> и ее периодичности изменений нет. Для экологов: сроки поверки </w:t>
            </w:r>
            <w:proofErr w:type="spellStart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дымомеров</w:t>
            </w:r>
            <w:proofErr w:type="spellEnd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 xml:space="preserve"> увеличены с 6-ти до 12-ти месяцев. Основные изменения — энергетика, медицина и измерения ионизирующего излучения.</w:t>
            </w:r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Постановление вступает в силу 30 мая 2024 года.</w:t>
            </w:r>
          </w:p>
          <w:p w:rsidR="008468CA" w:rsidRPr="008468CA" w:rsidRDefault="008468CA" w:rsidP="008468CA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---------------</w:t>
            </w:r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7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Список специфических требований по обеспечению пожарной безопасности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8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 xml:space="preserve">Перечни </w:t>
              </w:r>
              <w:proofErr w:type="gramStart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действующих</w:t>
              </w:r>
              <w:proofErr w:type="gramEnd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 xml:space="preserve"> ТНПА в области пожарной безопасности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9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Перечень нормативных правовых актов, образующих систему противопожарного нормирования и стандартизации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0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Перечень технических кодексов установившейся практики в области гражданской обороны, утвержденных МЧС Республики Беларусь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1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Перечень действующих нормативных правовых актов в области промышленной безопасности, безопасности перевозки опасных грузов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2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Перечень технических нормативных правовых актов в области промышленной безопасности, безопасности перевозки опасных грузов и технических регламентов Таможенного союза и Евразийского экономического союза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3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Перечень действующих технических нормативных правовых актов органов и учреждений, осуществляющих государственный санитарный надзор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4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Перечень действующих специфических санитарно-эпидемиологических требований, утвержденных Постановлениями Совета Министров Республики Беларусь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5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Нормативные правовые акты, регулирующие радиационную безопасность в Республике Беларусь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6" w:anchor="!/tabs/DocsWithRef" w:tgtFrame="_blank" w:history="1">
              <w:proofErr w:type="gramStart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Перечень обязательных для применения технических кодексов установившейся практики, государственных стандартов Республики Беларусь, на которые приведены ссылки в законодательных актах, технических регламентах Республики Беларусь, иных нормативных правовых актах Совета Министров Республики Беларусь</w:t>
              </w:r>
            </w:hyperlink>
            <w:proofErr w:type="gramEnd"/>
          </w:p>
          <w:p w:rsidR="008468CA" w:rsidRPr="008468CA" w:rsidRDefault="003E2EEF" w:rsidP="00846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7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 xml:space="preserve">Перечень </w:t>
              </w:r>
              <w:proofErr w:type="gramStart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обязательных</w:t>
              </w:r>
              <w:proofErr w:type="gramEnd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 xml:space="preserve"> для применения ТНПА в строительстве</w:t>
              </w:r>
            </w:hyperlink>
            <w:r w:rsidR="008468CA"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---</w:t>
            </w:r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8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Контрольный список вопросов (</w:t>
              </w:r>
              <w:proofErr w:type="spellStart"/>
              <w:proofErr w:type="gramStart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чек-листы</w:t>
              </w:r>
              <w:proofErr w:type="spellEnd"/>
              <w:proofErr w:type="gramEnd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) Министерства труда и социальной защиты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19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Контрольный список вопросов (</w:t>
              </w:r>
              <w:proofErr w:type="spellStart"/>
              <w:proofErr w:type="gramStart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чек-листы</w:t>
              </w:r>
              <w:proofErr w:type="spellEnd"/>
              <w:proofErr w:type="gramEnd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) МЧС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20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Контрольные списки вопросов (</w:t>
              </w:r>
              <w:proofErr w:type="spellStart"/>
              <w:proofErr w:type="gramStart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чек-листы</w:t>
              </w:r>
              <w:proofErr w:type="spellEnd"/>
              <w:proofErr w:type="gramEnd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), применяемые органами и учреждениями, осуществляющими государственный надзор в области промышленной безопасности</w:t>
              </w:r>
            </w:hyperlink>
          </w:p>
          <w:p w:rsidR="008468CA" w:rsidRPr="008468CA" w:rsidRDefault="003E2EEF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21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Контрольные списки вопросов (</w:t>
              </w:r>
              <w:proofErr w:type="spellStart"/>
              <w:proofErr w:type="gramStart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чек-листы</w:t>
              </w:r>
              <w:proofErr w:type="spellEnd"/>
              <w:proofErr w:type="gramEnd"/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), применяемые органами и учреждениями, осуществляющими государственный санитарный надзор</w:t>
              </w:r>
            </w:hyperlink>
          </w:p>
          <w:p w:rsidR="008468CA" w:rsidRPr="008468CA" w:rsidRDefault="008468CA" w:rsidP="008468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Контрольные списки вопросов (</w:t>
            </w:r>
            <w:proofErr w:type="spellStart"/>
            <w:r w:rsidRPr="008468C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чек-листы</w:t>
            </w:r>
            <w:proofErr w:type="spellEnd"/>
            <w:r w:rsidRPr="008468C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 xml:space="preserve">) в области надзора </w:t>
            </w:r>
            <w:proofErr w:type="gramStart"/>
            <w:r w:rsidRPr="008468C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за</w:t>
            </w:r>
            <w:proofErr w:type="gramEnd"/>
            <w:r w:rsidRPr="008468C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 xml:space="preserve"> ядерной и радиационной </w:t>
            </w:r>
            <w:proofErr w:type="spellStart"/>
            <w:r w:rsidRPr="008468C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безопасностьюПеречень</w:t>
            </w:r>
            <w:proofErr w:type="spellEnd"/>
            <w:r w:rsidRPr="008468C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 xml:space="preserve"> вопросов для проверки знаний в </w:t>
            </w:r>
            <w:proofErr w:type="spellStart"/>
            <w:r w:rsidRPr="008468CA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Госпромнадзоре</w:t>
            </w:r>
            <w:proofErr w:type="spellEnd"/>
          </w:p>
          <w:p w:rsidR="008468CA" w:rsidRDefault="003E2EEF" w:rsidP="00846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hyperlink r:id="rId22" w:tgtFrame="_blank" w:history="1">
              <w:r w:rsidR="008468CA" w:rsidRPr="008468CA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Реестр административных процедур</w:t>
              </w:r>
            </w:hyperlink>
          </w:p>
          <w:p w:rsidR="008468CA" w:rsidRDefault="008468CA" w:rsidP="00846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</w:p>
          <w:p w:rsid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8CA" w:rsidRPr="008468CA" w:rsidRDefault="008468CA" w:rsidP="008468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468CA" w:rsidRPr="008468CA" w:rsidTr="008468CA">
        <w:trPr>
          <w:gridAfter w:val="1"/>
          <w:trHeight w:val="563"/>
          <w:tblCellSpacing w:w="0" w:type="dxa"/>
        </w:trPr>
        <w:tc>
          <w:tcPr>
            <w:tcW w:w="9616" w:type="dxa"/>
            <w:tcMar>
              <w:top w:w="0" w:type="dxa"/>
              <w:left w:w="250" w:type="dxa"/>
              <w:bottom w:w="0" w:type="dxa"/>
              <w:right w:w="250" w:type="dxa"/>
            </w:tcMar>
            <w:vAlign w:val="bottom"/>
            <w:hideMark/>
          </w:tcPr>
          <w:p w:rsidR="008468CA" w:rsidRPr="008468CA" w:rsidRDefault="008468CA" w:rsidP="008468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8468CA" w:rsidRDefault="008468CA" w:rsidP="008468CA">
            <w:pPr>
              <w:spacing w:after="0" w:line="240" w:lineRule="auto"/>
              <w:ind w:left="501"/>
              <w:jc w:val="center"/>
              <w:rPr>
                <w:rFonts w:ascii="Tahoma" w:eastAsia="Times New Roman" w:hAnsi="Tahoma" w:cs="Tahoma"/>
                <w:b/>
                <w:bCs/>
                <w:color w:val="1A1A1A"/>
                <w:sz w:val="25"/>
                <w:szCs w:val="25"/>
                <w:lang w:eastAsia="ru-RU"/>
              </w:rPr>
            </w:pPr>
          </w:p>
          <w:p w:rsidR="008468CA" w:rsidRPr="008468CA" w:rsidRDefault="008468CA" w:rsidP="008468CA">
            <w:pPr>
              <w:spacing w:after="0" w:line="240" w:lineRule="auto"/>
              <w:ind w:left="501"/>
              <w:jc w:val="center"/>
              <w:rPr>
                <w:rFonts w:ascii="Tahoma" w:eastAsia="Times New Roman" w:hAnsi="Tahoma" w:cs="Tahoma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8468CA">
              <w:rPr>
                <w:rFonts w:ascii="Tahoma" w:eastAsia="Times New Roman" w:hAnsi="Tahoma" w:cs="Tahoma"/>
                <w:b/>
                <w:bCs/>
                <w:color w:val="1A1A1A"/>
                <w:sz w:val="25"/>
                <w:szCs w:val="25"/>
                <w:lang w:eastAsia="ru-RU"/>
              </w:rPr>
              <w:lastRenderedPageBreak/>
              <w:t>Обзор ТНПА</w:t>
            </w:r>
          </w:p>
        </w:tc>
      </w:tr>
      <w:tr w:rsidR="008468CA" w:rsidRPr="008468CA" w:rsidTr="008468CA">
        <w:trPr>
          <w:tblCellSpacing w:w="0" w:type="dxa"/>
        </w:trPr>
        <w:tc>
          <w:tcPr>
            <w:tcW w:w="9616" w:type="dxa"/>
            <w:tcMar>
              <w:top w:w="0" w:type="dxa"/>
              <w:left w:w="250" w:type="dxa"/>
              <w:bottom w:w="0" w:type="dxa"/>
              <w:right w:w="250" w:type="dxa"/>
            </w:tcMar>
            <w:vAlign w:val="center"/>
            <w:hideMark/>
          </w:tcPr>
          <w:p w:rsidR="008468CA" w:rsidRPr="008468CA" w:rsidRDefault="008468CA" w:rsidP="008468CA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proofErr w:type="gramStart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lastRenderedPageBreak/>
              <w:t>В июне 2024 года вступили в силу следующие ТНПА: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br/>
              <w:t>(приводим ссылки и аннотации на самые значимые, на наш взгляд, документы.</w:t>
            </w:r>
            <w:proofErr w:type="gramEnd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Все ТНПА можно найти на сайте </w:t>
            </w:r>
            <w:hyperlink r:id="rId23" w:tgtFrame="_blank" w:history="1">
              <w:r w:rsidRPr="008468CA">
                <w:rPr>
                  <w:rFonts w:ascii="Tahoma" w:eastAsia="Times New Roman" w:hAnsi="Tahoma" w:cs="Tahoma"/>
                  <w:color w:val="0000FF"/>
                  <w:sz w:val="18"/>
                  <w:u w:val="single"/>
                  <w:lang w:eastAsia="ru-RU"/>
                </w:rPr>
                <w:t>Национального фонда технических нормативных правовых актов Республики Беларусь</w:t>
              </w:r>
            </w:hyperlink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)</w:t>
            </w:r>
            <w:proofErr w:type="gramEnd"/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СТБ 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lang w:eastAsia="ru-RU"/>
              </w:rPr>
              <w:t>2636-2023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 «Рабочее место для инвалида с нарушениями функций опорно-двигательного аппарата. Технические требования»</w:t>
            </w:r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СТБ 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lang w:eastAsia="ru-RU"/>
              </w:rPr>
              <w:t>2651-2023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 «Рабочее место для инвалида по зрению типовое специальное компьютерное. Общие требования к оборудованию и к производственной среде»</w:t>
            </w:r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СТБ 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lang w:eastAsia="ru-RU"/>
              </w:rPr>
              <w:t>2642-2023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 «Плавательные бассейны. Скользкие поверхности. Требования безопасности и методы испытаний»</w:t>
            </w:r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СТБ ISO 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lang w:eastAsia="ru-RU"/>
              </w:rPr>
              <w:t>11553-1-2023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 «Безопасность машин. Станки для лазерной обработки. Часть 1. Требования безопасности при работе с лазерами»</w:t>
            </w:r>
          </w:p>
          <w:p w:rsidR="008468CA" w:rsidRPr="008468CA" w:rsidRDefault="008468CA" w:rsidP="008468CA">
            <w:pPr>
              <w:spacing w:after="0" w:line="250" w:lineRule="atLeast"/>
              <w:jc w:val="both"/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</w:pP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СТБ EN 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lang w:eastAsia="ru-RU"/>
              </w:rPr>
              <w:t>15288-2-2023</w:t>
            </w:r>
            <w:r w:rsidRPr="008468CA">
              <w:rPr>
                <w:rFonts w:ascii="Tahoma" w:eastAsia="Times New Roman" w:hAnsi="Tahoma" w:cs="Tahoma"/>
                <w:color w:val="1A1A1A"/>
                <w:sz w:val="18"/>
                <w:szCs w:val="18"/>
                <w:lang w:eastAsia="ru-RU"/>
              </w:rPr>
              <w:t> «Бассейны плавательные. Часть 2. Требования безопасности при эксплуатации»</w:t>
            </w:r>
          </w:p>
        </w:tc>
        <w:tc>
          <w:tcPr>
            <w:tcW w:w="0" w:type="auto"/>
            <w:vAlign w:val="center"/>
            <w:hideMark/>
          </w:tcPr>
          <w:p w:rsidR="008468CA" w:rsidRPr="008468CA" w:rsidRDefault="008468CA" w:rsidP="008468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3543F9" w:rsidRPr="008468CA" w:rsidRDefault="003543F9" w:rsidP="008468CA">
      <w:pPr>
        <w:spacing w:after="0"/>
        <w:rPr>
          <w:rFonts w:ascii="Tahoma" w:hAnsi="Tahoma" w:cs="Tahoma"/>
        </w:rPr>
      </w:pPr>
    </w:p>
    <w:p w:rsidR="008468CA" w:rsidRDefault="008468CA"/>
    <w:sectPr w:rsidR="008468CA" w:rsidSect="008468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8CA"/>
    <w:rsid w:val="003543F9"/>
    <w:rsid w:val="003A2B16"/>
    <w:rsid w:val="003E2EEF"/>
    <w:rsid w:val="00640FD6"/>
    <w:rsid w:val="0084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8CA"/>
    <w:rPr>
      <w:b/>
      <w:bCs/>
    </w:rPr>
  </w:style>
  <w:style w:type="character" w:styleId="a5">
    <w:name w:val="Hyperlink"/>
    <w:basedOn w:val="a0"/>
    <w:uiPriority w:val="99"/>
    <w:semiHidden/>
    <w:unhideWhenUsed/>
    <w:rsid w:val="008468CA"/>
    <w:rPr>
      <w:color w:val="0000FF"/>
      <w:u w:val="single"/>
    </w:rPr>
  </w:style>
  <w:style w:type="character" w:customStyle="1" w:styleId="wmi-callto">
    <w:name w:val="wmi-callto"/>
    <w:basedOn w:val="a0"/>
    <w:rsid w:val="00846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hs.gov.by/zakonodatelstvo-v-sfere-deyatelnosti-mchs/perechni-deystvuyushchikh-tnpa-v-oblasti-pozharnoy-bezopasnosti/?_ga=2.248963591.1426761311.1572242211-980967363.1550559079" TargetMode="External"/><Relationship Id="rId13" Type="http://schemas.openxmlformats.org/officeDocument/2006/relationships/hyperlink" Target="http://minzdrav.gov.by/ru/dlya-spetsialistov/normativno-pravovaya-baza/tekhnicheskie-normativnye-pravovye-akty/" TargetMode="External"/><Relationship Id="rId18" Type="http://schemas.openxmlformats.org/officeDocument/2006/relationships/hyperlink" Target="http://git.gov.by/page/formy-kontrolnyh-spiskov-voprosov-cek-list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cheph.by/nadzor/chek-listy/" TargetMode="External"/><Relationship Id="rId7" Type="http://schemas.openxmlformats.org/officeDocument/2006/relationships/hyperlink" Target="https://mchs.gov.by/organizatsiyam-i-predprinimatelyam/rukovoditelyu-o-pozharnoy-bezopasnosti/" TargetMode="External"/><Relationship Id="rId12" Type="http://schemas.openxmlformats.org/officeDocument/2006/relationships/hyperlink" Target="http://gospromnadzor.mchs.gov.by/zakonodatelstvo-gospromnadzor/perechen-tnpa-i-tr-ts/" TargetMode="External"/><Relationship Id="rId17" Type="http://schemas.openxmlformats.org/officeDocument/2006/relationships/hyperlink" Target="https://normy.by/mand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npa.by/" TargetMode="External"/><Relationship Id="rId20" Type="http://schemas.openxmlformats.org/officeDocument/2006/relationships/hyperlink" Target="http://gospromnadzor.mchs.gov.by/zakonodatelstvo-gospromnadzor/chek-listy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W22441624" TargetMode="External"/><Relationship Id="rId11" Type="http://schemas.openxmlformats.org/officeDocument/2006/relationships/hyperlink" Target="http://gospromnadzor.mchs.gov.by/zakonodatelstvo-gospromnadzor/perechen-np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tb.by/news/4965-v-medosmotrakh-opyat-izmeneniya" TargetMode="External"/><Relationship Id="rId15" Type="http://schemas.openxmlformats.org/officeDocument/2006/relationships/hyperlink" Target="https://gosatomnadzor.mchs.gov.by/radiatsionnaya-bezopasnost-istochnikov-ioniziruyushchego-izlucheniya/normativnye-pravovye-akty-reguliruyushchie-radiatsionnuyu-bezopasnost-v-respublike-belarus/" TargetMode="External"/><Relationship Id="rId23" Type="http://schemas.openxmlformats.org/officeDocument/2006/relationships/hyperlink" Target="http://tnpa.by/" TargetMode="External"/><Relationship Id="rId10" Type="http://schemas.openxmlformats.org/officeDocument/2006/relationships/hyperlink" Target="https://mchs.gov.by/upload/iblock/1d0/go.pdf" TargetMode="External"/><Relationship Id="rId19" Type="http://schemas.openxmlformats.org/officeDocument/2006/relationships/hyperlink" Target="http://mchs.gov.by/organizatsiyam-i-predprinimatelyam/chek-listy/" TargetMode="External"/><Relationship Id="rId4" Type="http://schemas.openxmlformats.org/officeDocument/2006/relationships/hyperlink" Target="https://pravo.by/document/?guid=12551&amp;p0=W22441615" TargetMode="External"/><Relationship Id="rId9" Type="http://schemas.openxmlformats.org/officeDocument/2006/relationships/hyperlink" Target="https://mchs.gov.by/zakonodatelstvo-v-sfere-deyatelnosti-mchs/tnpa/perechen-tnpa-sistemy-protivopozharnogo-normirovaniya-i-standartizatsii/" TargetMode="External"/><Relationship Id="rId14" Type="http://schemas.openxmlformats.org/officeDocument/2006/relationships/hyperlink" Target="https://rcheph.by/nadzor/npa/" TargetMode="External"/><Relationship Id="rId22" Type="http://schemas.openxmlformats.org/officeDocument/2006/relationships/hyperlink" Target="https://rap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Ламан</dc:creator>
  <cp:keywords/>
  <dc:description/>
  <cp:lastModifiedBy>Ламан</cp:lastModifiedBy>
  <cp:revision>4</cp:revision>
  <dcterms:created xsi:type="dcterms:W3CDTF">2024-06-14T12:37:00Z</dcterms:created>
  <dcterms:modified xsi:type="dcterms:W3CDTF">2024-06-14T12:45:00Z</dcterms:modified>
</cp:coreProperties>
</file>